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 xml:space="preserve">公益同心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福彩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同行——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尚志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市财政局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用活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用好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中央专项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</w:rPr>
        <w:t>彩票公益金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fill="FFFFFF"/>
          <w:lang w:val="en-US" w:eastAsia="zh-CN"/>
        </w:rPr>
        <w:t>助力公益服务高质量发展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为全面落实彩票公益金支持社会公益事业政策，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2022年以来，尚志市财政局广泛梳理、统筹谋划，积极争取中央专项彩票公益金1448万元，用活用好彩票公益金，助力尚志市养老、殡葬、公共文化等公益服务高质量发展。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fill="FFFFFF"/>
        </w:rPr>
        <w:t>靶向投入，助力民心工程建设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Chars="0"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尚志市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财政局严格按照彩票公益金管理办法要求，遵照“公益性、平衡性、补短板”的原则，将彩票公益金重点投向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养老服务基础设施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殡葬服务基础设施、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基层群众文化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基础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设施等社会公益事业短板领域和薄弱环节，建设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一批以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维修改造尚志和亚布力敬老服务中心、为市内两个殡仪馆维修两台火化炉并购买一台新火化炉、为全市17个乡镇29个村新建文化广场和小舞台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为代表的群众看得见、摸得着、真受益的民心工程，有效弥补社会公益事业领域基本公共服务供给不足和水平差异，补齐民生短板，助力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公益服务高质量发展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fill="FFFFFF"/>
        </w:rPr>
        <w:t>强化督导，确保资金规范使用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尚志市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财政局组织专人对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中央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专项彩票公益金资助社会公益事业项目进行现场督导，通过现场实地查看、听取相关汇报、翻阅文件凭证等方式,了解项目实施情况、资金使用情况以及档案资料情况。通过现场督导，确保项目单位做到资金专款专用，规范了资金使用管理流程,将项目建成后的使用效果做到最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color w:val="191919"/>
          <w:spacing w:val="0"/>
          <w:sz w:val="32"/>
          <w:szCs w:val="32"/>
          <w:shd w:val="clear" w:fill="FFFFFF"/>
        </w:rPr>
        <w:t>推动落地，提升群众幸福指数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通过实施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敬老服务服务中心维修改造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文化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广场建设、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殡葬设备改造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等项目，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改善了敬老服务中心的养老基础设施条件、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强化了殡仪服务能力水平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完备了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公共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文化基础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设施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大大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提升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了尚志市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人民群众的满意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度和幸福指数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下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步，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尚志</w:t>
      </w:r>
      <w:r>
        <w:rPr>
          <w:rFonts w:hint="eastAsia" w:ascii="仿宋_GB2312" w:hAnsi="仿宋_GB2312" w:eastAsia="仿宋_GB2312" w:cs="仿宋_GB2312"/>
          <w:i w:val="0"/>
          <w:caps w:val="0"/>
          <w:color w:val="191919"/>
          <w:spacing w:val="0"/>
          <w:sz w:val="32"/>
          <w:szCs w:val="32"/>
          <w:shd w:val="clear" w:fill="FFFFFF"/>
        </w:rPr>
        <w:t>市财政局将不断加强组织领导、科学统筹谋划、层层落实责任，严把工程建设质量关，建立健全科学评估机制，广泛接受群众监督，进一步提升彩票公益金的使用效益，确保公益项目的社会效益最大化，真正将社会公益事业做成让党和政府放心的满意工程、让人民生活幸福的民心工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8A697"/>
    <w:multiLevelType w:val="singleLevel"/>
    <w:tmpl w:val="5DA8A69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30C38"/>
    <w:rsid w:val="041A2510"/>
    <w:rsid w:val="052E0D06"/>
    <w:rsid w:val="06EF22F7"/>
    <w:rsid w:val="0DC35F5C"/>
    <w:rsid w:val="18C30E56"/>
    <w:rsid w:val="1ACF78BE"/>
    <w:rsid w:val="1F374F3B"/>
    <w:rsid w:val="1F575ADE"/>
    <w:rsid w:val="20EE3C94"/>
    <w:rsid w:val="25F822F6"/>
    <w:rsid w:val="2E2C4493"/>
    <w:rsid w:val="31BC3D1A"/>
    <w:rsid w:val="35EC3278"/>
    <w:rsid w:val="3667114E"/>
    <w:rsid w:val="37EC463A"/>
    <w:rsid w:val="3FB020AC"/>
    <w:rsid w:val="43630C38"/>
    <w:rsid w:val="43D446D3"/>
    <w:rsid w:val="474B1C03"/>
    <w:rsid w:val="4F8C75C2"/>
    <w:rsid w:val="51904F9C"/>
    <w:rsid w:val="53055121"/>
    <w:rsid w:val="58B111DA"/>
    <w:rsid w:val="5B033D5C"/>
    <w:rsid w:val="601375EE"/>
    <w:rsid w:val="62BC7F66"/>
    <w:rsid w:val="63380BCA"/>
    <w:rsid w:val="73836082"/>
    <w:rsid w:val="750B70F0"/>
    <w:rsid w:val="76153021"/>
    <w:rsid w:val="78FF5764"/>
    <w:rsid w:val="79D84C5F"/>
    <w:rsid w:val="7CD8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208</TotalTime>
  <ScaleCrop>false</ScaleCrop>
  <LinksUpToDate>false</LinksUpToDate>
  <CharactersWithSpaces>0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2024-05-29T08:32:00Z</dcterms:created>
  <dc:creator>焦晨</dc:creator>
  <cp:lastModifiedBy>焦晨</cp:lastModifiedBy>
  <dcterms:modified xsi:type="dcterms:W3CDTF">2024-05-31T01:17:54Z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